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bookmarkStart w:id="0" w:name="__DdeLink__2752_686693606"/>
      <w:bookmarkStart w:id="1" w:name="_GoBack"/>
      <w:bookmarkEnd w:id="1"/>
      <w:r>
        <w:rPr>
          <w:rFonts w:cs="Times New Roman" w:ascii="Times New Roman" w:hAnsi="Times New Roman"/>
          <w:b/>
          <w:sz w:val="28"/>
          <w:szCs w:val="28"/>
        </w:rPr>
        <w:t>Федеральные меры поддержки организаций по состоянию на 5 мая 2022 г.</w:t>
      </w:r>
      <w:bookmarkEnd w:id="0"/>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3"/>
        <w:tblW w:w="15593" w:type="dxa"/>
        <w:jc w:val="left"/>
        <w:tblInd w:w="-147" w:type="dxa"/>
        <w:tblCellMar>
          <w:top w:w="0" w:type="dxa"/>
          <w:left w:w="108" w:type="dxa"/>
          <w:bottom w:w="0" w:type="dxa"/>
          <w:right w:w="108" w:type="dxa"/>
        </w:tblCellMar>
        <w:tblLook w:val="04a0" w:noVBand="1" w:noHBand="0" w:lastColumn="0" w:firstColumn="1" w:lastRow="0" w:firstRow="1"/>
      </w:tblPr>
      <w:tblGrid>
        <w:gridCol w:w="567"/>
        <w:gridCol w:w="12615"/>
        <w:gridCol w:w="2411"/>
      </w:tblGrid>
      <w:tr>
        <w:trPr>
          <w:trHeight w:val="388" w:hRule="atLeast"/>
        </w:trPr>
        <w:tc>
          <w:tcPr>
            <w:tcW w:w="567" w:type="dxa"/>
            <w:tcBorders/>
            <w:shd w:fill="auto"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12615" w:type="dxa"/>
            <w:tcBorders/>
            <w:shd w:fill="auto"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Краткое описание меры</w:t>
            </w:r>
          </w:p>
        </w:tc>
        <w:tc>
          <w:tcPr>
            <w:tcW w:w="2411" w:type="dxa"/>
            <w:tcBorders/>
            <w:shd w:fill="auto"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Начало действия</w:t>
            </w:r>
          </w:p>
        </w:tc>
      </w:tr>
      <w:tr>
        <w:trPr>
          <w:trHeight w:val="399" w:hRule="atLeast"/>
        </w:trPr>
        <w:tc>
          <w:tcPr>
            <w:tcW w:w="15593" w:type="dxa"/>
            <w:gridSpan w:val="3"/>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В сфере туризма</w:t>
            </w:r>
          </w:p>
        </w:tc>
      </w:tr>
      <w:tr>
        <w:trPr>
          <w:trHeight w:val="701"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Установление ставки НДС в размере 0 % в отношении услуг по предоставлению мест для временного проживания в гостиницах и иных средствах размещения сроком на 5 лет, а также в отношении услуг по предоставлению в аренду объекта туриндустрии, введенного в эксплуатацию после 1 января 2022 г., в течение 20 налоговых периодов с момента ввода объекта в эксплуатацию.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Предусмотрена возможность применения заявительного порядка возмещения сумм НДС за налоговые периоды 2022 и 2023 годов. (Федеральный закон от 26 марта 2022 г. № 67-ФЗ – изменения в статью 164 НК РФ)</w:t>
            </w:r>
          </w:p>
          <w:p>
            <w:pPr>
              <w:pStyle w:val="Normal"/>
              <w:spacing w:lineRule="auto" w:line="240" w:before="0" w:after="0"/>
              <w:jc w:val="both"/>
              <w:rPr/>
            </w:pPr>
            <w:r>
              <w:rPr>
                <w:rFonts w:cs="Times New Roman" w:ascii="Times New Roman" w:hAnsi="Times New Roman"/>
                <w:sz w:val="24"/>
                <w:szCs w:val="24"/>
              </w:rPr>
              <w:t xml:space="preserve">Обращаем внимание: с точки зрения ФНС, нулевую ставку смогут применять как </w:t>
            </w:r>
            <w:hyperlink r:id="rId2">
              <w:r>
                <w:rPr>
                  <w:rStyle w:val="Style14"/>
                  <w:rFonts w:cs="Times New Roman" w:ascii="Times New Roman" w:hAnsi="Times New Roman"/>
                  <w:color w:val="auto"/>
                  <w:sz w:val="24"/>
                  <w:szCs w:val="24"/>
                  <w:u w:val="none"/>
                </w:rPr>
                <w:t>новые и открывшиеся после реконструкции</w:t>
              </w:r>
            </w:hyperlink>
            <w:r>
              <w:rPr>
                <w:rFonts w:cs="Times New Roman" w:ascii="Times New Roman" w:hAnsi="Times New Roman"/>
                <w:sz w:val="24"/>
                <w:szCs w:val="24"/>
              </w:rPr>
              <w:t xml:space="preserve"> гостиницы, так и </w:t>
            </w:r>
            <w:hyperlink r:id="rId3">
              <w:r>
                <w:rPr>
                  <w:rStyle w:val="Style14"/>
                  <w:rFonts w:cs="Times New Roman" w:ascii="Times New Roman" w:hAnsi="Times New Roman"/>
                  <w:color w:val="auto"/>
                  <w:sz w:val="24"/>
                  <w:szCs w:val="24"/>
                  <w:u w:val="none"/>
                </w:rPr>
                <w:t>действовавшие до 2022 года</w:t>
              </w:r>
            </w:hyperlink>
            <w:r>
              <w:rPr>
                <w:rFonts w:cs="Times New Roman" w:ascii="Times New Roman" w:hAnsi="Times New Roman"/>
                <w:sz w:val="24"/>
                <w:szCs w:val="24"/>
              </w:rPr>
              <w:t xml:space="preserve"> (письмо ФНС России от 7 апреля 2022 г. № сд-4-3/4214@ «О налоге на добавленную стоимость»).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Нулевую ставку можно применять к </w:t>
            </w:r>
            <w:r>
              <w:rPr>
                <w:rFonts w:cs="Times New Roman" w:ascii="Times New Roman" w:hAnsi="Times New Roman"/>
                <w:bCs/>
                <w:sz w:val="24"/>
                <w:szCs w:val="24"/>
              </w:rPr>
              <w:t>аренде</w:t>
            </w:r>
            <w:r>
              <w:rPr>
                <w:rFonts w:cs="Times New Roman" w:ascii="Times New Roman" w:hAnsi="Times New Roman"/>
                <w:sz w:val="24"/>
                <w:szCs w:val="24"/>
              </w:rPr>
              <w:t xml:space="preserve"> (пользованию) </w:t>
            </w:r>
            <w:r>
              <w:rPr>
                <w:rFonts w:cs="Times New Roman" w:ascii="Times New Roman" w:hAnsi="Times New Roman"/>
                <w:bCs/>
                <w:sz w:val="24"/>
                <w:szCs w:val="24"/>
              </w:rPr>
              <w:t>объектов туристской индустрии</w:t>
            </w:r>
            <w:r>
              <w:rPr>
                <w:rFonts w:cs="Times New Roman" w:ascii="Times New Roman" w:hAnsi="Times New Roman"/>
                <w:sz w:val="24"/>
                <w:szCs w:val="24"/>
              </w:rPr>
              <w:t>, которые ввели в эксплуатацию после 1 января 2022 г. (в том числе после реконструкции) и которые есть в реестре правительства (ст. 164 НК РФ). Нулевая ставка действует 20 последовательных кварталов, следующих за вводом в эксплуатацию. Налогоплательщики должны представить документальное подтверждение ввода объекта в эксплуатацию и договор об аренде или о пользовании либо его копию (ст. 165 НК РФ).</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Вступает силу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 июля 2022 г.</w:t>
            </w:r>
          </w:p>
        </w:tc>
      </w:tr>
      <w:tr>
        <w:trPr>
          <w:trHeight w:val="701"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льготных кредитов на строительство: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 гостиниц (категория не менее «три звезды») площадью не менее 5000 кв. м или с номерным фондом от 120 номеров;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 многофункциональных комплексов, предусматривающих номерной фонд санаторно-курортных организаций и (или) гостиниц категории не менее «три звезды», общая площадь которого составляет не менее 10 процентов общей площади многофункционального комплекса, а также развлекательные и (или) спортивно-оздоровительные комплексы, и (или) конгресс-центры, и (или) горнолыжные трассы, и (или) горнолыжные комплексы с системами искусственного оснежения.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Ставки: от 3 до 5 % годовых. Срок – до 15 лет включительно. Сумма – от 100 млн рублей до 70 млрд рублей. (постановление Правительства РФ от 9 февраля 2021 г. № 141)</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24 февраля 2021 г.</w:t>
            </w:r>
          </w:p>
        </w:tc>
      </w:tr>
      <w:tr>
        <w:trPr>
          <w:trHeight w:val="701"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Возобновление детского туристического кешбэка до 31 августа 2022 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(постановление правительства РФ от 19 мая 2021 г. № 759 (в ред. от 28 марта 2022 г.)</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28 марта 2022 г.</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701"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Для поддержки предстоящего туристического сезона в рамках перераспределения средств нацпроекта Ростуризм направит 2 млрд рублей на льготное кредитование проектов по строительству и реконструкции гостиниц. (дайджест антикризисных мер по поддержке экономики от 5 апреля 2022 г.)</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r>
        <w:trPr>
          <w:trHeight w:val="628"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 31 декабря 2022 г. установлены особенности разрешительных режимов для туроператоров (постановление Правительства РФ от 12 марта 2022 г. № 353)</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21 апреля 2022 г.</w:t>
            </w:r>
          </w:p>
        </w:tc>
      </w:tr>
      <w:tr>
        <w:trPr>
          <w:trHeight w:val="492" w:hRule="atLeast"/>
        </w:trPr>
        <w:tc>
          <w:tcPr>
            <w:tcW w:w="15593" w:type="dxa"/>
            <w:gridSpan w:val="3"/>
            <w:tcBorders/>
            <w:shd w:fill="auto"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Поддержка системообразующих организаций федерального значения</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Возобновлена программа поддержки системообразующих организаций российской экономики, которая действовала в 2020 году в связи с распространением коронавирусной инфекции. Два вида мер поддержки:</w:t>
            </w:r>
          </w:p>
          <w:p>
            <w:pPr>
              <w:pStyle w:val="Normal"/>
              <w:spacing w:lineRule="auto" w:line="240" w:before="0" w:after="0"/>
              <w:jc w:val="both"/>
              <w:rPr/>
            </w:pPr>
            <w:r>
              <w:rPr>
                <w:rFonts w:cs="Times New Roman" w:ascii="Times New Roman" w:hAnsi="Times New Roman"/>
                <w:sz w:val="24"/>
                <w:szCs w:val="24"/>
              </w:rPr>
              <w:t xml:space="preserve">1) </w:t>
            </w:r>
            <w:hyperlink r:id="rId4">
              <w:r>
                <w:rPr>
                  <w:rStyle w:val="ListLabel6"/>
                  <w:rFonts w:cs="Times New Roman" w:ascii="Times New Roman" w:hAnsi="Times New Roman"/>
                  <w:sz w:val="24"/>
                  <w:szCs w:val="24"/>
                </w:rPr>
                <w:t>Субсидии</w:t>
              </w:r>
            </w:hyperlink>
            <w:r>
              <w:rPr>
                <w:rFonts w:cs="Times New Roman" w:ascii="Times New Roman" w:hAnsi="Times New Roman"/>
                <w:sz w:val="24"/>
                <w:szCs w:val="24"/>
              </w:rPr>
              <w:t xml:space="preserve"> для возмещения затрат на производство и реализацию товаров, выполнение работ, оказание услуг.</w:t>
            </w:r>
          </w:p>
          <w:p>
            <w:pPr>
              <w:pStyle w:val="Normal"/>
              <w:spacing w:lineRule="auto" w:line="240" w:before="0" w:after="0"/>
              <w:jc w:val="both"/>
              <w:rPr/>
            </w:pPr>
            <w:r>
              <w:rPr>
                <w:rFonts w:cs="Times New Roman" w:ascii="Times New Roman" w:hAnsi="Times New Roman"/>
                <w:sz w:val="24"/>
                <w:szCs w:val="24"/>
              </w:rPr>
              <w:t>2) </w:t>
            </w:r>
            <w:hyperlink r:id="rId5">
              <w:r>
                <w:rPr>
                  <w:rStyle w:val="ListLabel6"/>
                  <w:rFonts w:cs="Times New Roman" w:ascii="Times New Roman" w:hAnsi="Times New Roman"/>
                  <w:sz w:val="24"/>
                  <w:szCs w:val="24"/>
                </w:rPr>
                <w:t>Госгарантии</w:t>
              </w:r>
            </w:hyperlink>
            <w:r>
              <w:rPr>
                <w:rFonts w:cs="Times New Roman" w:ascii="Times New Roman" w:hAnsi="Times New Roman"/>
                <w:sz w:val="24"/>
                <w:szCs w:val="24"/>
              </w:rPr>
              <w:t xml:space="preserve"> по кредитам и облигационным займам на ведение основной производственной деятельности, капвложения либо погашение ранее выданных на те же цели кредитов и займов.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shd w:fill="FFFFFF" w:val="clear"/>
              </w:rPr>
              <w:t>Для упрощения доступа к господдержке потенциальным участникам программы не придётся проходить стресс-тесты (обязательную оценку финансовой устойчивости).</w:t>
            </w:r>
            <w:r>
              <w:rPr>
                <w:rFonts w:cs="Times New Roman" w:ascii="Times New Roman" w:hAnsi="Times New Roman"/>
                <w:sz w:val="24"/>
                <w:szCs w:val="24"/>
              </w:rPr>
              <w:t xml:space="preserve"> (постановление Правительства от 6 марта 2022 г. № 296)</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15 марта 2022 г.</w:t>
            </w:r>
          </w:p>
        </w:tc>
      </w:tr>
      <w:tr>
        <w:trPr>
          <w:trHeight w:val="480" w:hRule="atLeast"/>
        </w:trPr>
        <w:tc>
          <w:tcPr>
            <w:tcW w:w="15593" w:type="dxa"/>
            <w:gridSpan w:val="3"/>
            <w:tcBorders/>
            <w:shd w:fill="auto"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Поддержка юридических лиц</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Налогоплательщики, уплачивающие в налоговом периоде 2022 года ежемесячные авансовые платежи по налогу на прибыль в течение отчетного (налогового) периода, вправе перейти до окончания налогового периода 2022 года на уплату ежемесячных авансовых платежей исходя из фактической прибыли. (Федеральный закон от 26 марта 2022 г. № 67-ФЗ)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С 1 января 2022 г. </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Срок уплаты авансового платежа по налогу на прибыль продлён с 28 марта 2022 г. до 28 апреля 2022 г., а именно авансового платежа по налогу на прибыль за I квартал 2022 года. (постановление Правительства РФ от 25 марта 2022 г. № 470)</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25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Налоговая база в отношении объектов недвижимого имущества за налоговый период 2023 года будет определяться как их кадастровая стоимость, подлежащая к применению с 1 января 2022 г., за исключением увеличения кадастровой стоимости из-за изменения характеристик объекта недвижимости (Федеральный закон от 26 марта 2022 г. № 67-ФЗ – внесены изменения в статью 375 НК РФ)</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 января 2023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Если кадастровая стоимость земельного участка, внесенная в ЕГРН и применяемая с 1 января 2023 г., больше стоимости из ЕГРН, применяемой с 1 января 2022 г., в 2023 г. для расчета налоговой базы используются показатели 2022 г, за исключением если кадастровая стоимость участка увеличилась из-за изменения его характеристик. (Федеральный закон от 26 марта 2022 г. № 67-ФЗ – внесены изменения в статью 391 НК РФ)</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 января 2023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26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Отменены </w:t>
            </w:r>
            <w:hyperlink r:id="rId6">
              <w:r>
                <w:rPr>
                  <w:rStyle w:val="ListLabel6"/>
                  <w:rFonts w:cs="Times New Roman" w:ascii="Times New Roman" w:hAnsi="Times New Roman"/>
                  <w:sz w:val="24"/>
                  <w:szCs w:val="24"/>
                </w:rPr>
                <w:t>повышенные пени</w:t>
              </w:r>
            </w:hyperlink>
            <w:r>
              <w:rPr>
                <w:rFonts w:cs="Times New Roman" w:ascii="Times New Roman" w:hAnsi="Times New Roman"/>
                <w:sz w:val="24"/>
                <w:szCs w:val="24"/>
              </w:rPr>
              <w:t xml:space="preserve"> при длительной просрочке уплаты налогов: в период с 9 марта 2022 г. по 31 декабря            2023 г. ставка пени за каждый календарный день просрочки исполнения обязанности по уплате налога для организаций принимается равной 1/300 действующей в этом периоде </w:t>
            </w:r>
            <w:hyperlink r:id="rId7">
              <w:r>
                <w:rPr>
                  <w:rStyle w:val="ListLabel6"/>
                  <w:rFonts w:cs="Times New Roman" w:ascii="Times New Roman" w:hAnsi="Times New Roman"/>
                  <w:sz w:val="24"/>
                  <w:szCs w:val="24"/>
                </w:rPr>
                <w:t>ставки</w:t>
              </w:r>
            </w:hyperlink>
            <w:r>
              <w:rPr>
                <w:rFonts w:cs="Times New Roman" w:ascii="Times New Roman" w:hAnsi="Times New Roman"/>
                <w:sz w:val="24"/>
                <w:szCs w:val="24"/>
              </w:rPr>
              <w:t xml:space="preserve"> рефинансирования Центрального банка Российской Федерации. Правило о повышении ставки с 31 дня просрочки временно не применяется. Дата возникновения недоимки, на которую начисляются пени, значения не имеет - указанный порядок применяется и в случае, когда недоимка возникла до 26 марта 2022 г. (Федеральный закон от 26 марта 2022 г. № 67-ФЗ)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26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Внесены изменения в порядок возбуждения уголовных дел о преступлениях, связанных с уклонением от уплаты обязательных платежей. Предусмотрено ограничение перечня поводов для возбуждения уголовных дел о налоговых преступлениях. Изменения внесены в статьи 140 и 144 Уголовно-процессуального кодекса Российской Федерации, предусматривающие возможность возбуждения уголовных дел следственными органами только по материалам налогового ведомства о возможном наличии в действиях налогоплательщика состава преступления. (Федеральный закон от 9 марта 2022 г. № 51- ФЗ)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9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126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В период переориентации логистических цепочек ФНС России не планирует привлекать пользователей ККТ к ответственности за отсутствие бумажного чека, если расчет зафиксирован на кассе, а чековая лента отсутствует по независящим от них обстоятельствам. (источник: </w:t>
            </w:r>
            <w:hyperlink r:id="rId8">
              <w:r>
                <w:rPr>
                  <w:rStyle w:val="Style14"/>
                  <w:rFonts w:cs="Times New Roman" w:ascii="Times New Roman" w:hAnsi="Times New Roman"/>
                  <w:color w:val="auto"/>
                  <w:sz w:val="24"/>
                  <w:szCs w:val="24"/>
                  <w:u w:val="none"/>
                </w:rPr>
                <w:t>https://www.nalog.gov.ru</w:t>
              </w:r>
            </w:hyperlink>
            <w:r>
              <w:rPr>
                <w:rFonts w:cs="Times New Roman" w:ascii="Times New Roman" w:hAnsi="Times New Roman"/>
                <w:sz w:val="24"/>
                <w:szCs w:val="24"/>
              </w:rPr>
              <w:t>)</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С 16 марта 2022 г. </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26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ФНС России принято решение о приостановлении до 1 июня 2022 г. принятия налоговыми органами решений о приостановлении операций по счетам в банке при взыскании денежных средств со счетов должников (блокировка счетов). Налогоплательщики, которые понесли ущерб из-за финансово-экономических санкций, смогут обратиться в налоговый орган по месту их учета, чтобы отложить сроки применения мер взыскания до предельных в соответствии с налоговым законодательством. (источник: </w:t>
            </w:r>
            <w:hyperlink r:id="rId9">
              <w:r>
                <w:rPr>
                  <w:rStyle w:val="Style14"/>
                  <w:rFonts w:cs="Times New Roman" w:ascii="Times New Roman" w:hAnsi="Times New Roman"/>
                  <w:color w:val="auto"/>
                  <w:sz w:val="24"/>
                  <w:szCs w:val="24"/>
                  <w:u w:val="none"/>
                </w:rPr>
                <w:t>https://www.nalog.gov.ru</w:t>
              </w:r>
            </w:hyperlink>
            <w:r>
              <w:rPr>
                <w:rFonts w:cs="Times New Roman" w:ascii="Times New Roman" w:hAnsi="Times New Roman"/>
                <w:sz w:val="24"/>
                <w:szCs w:val="24"/>
              </w:rPr>
              <w:t>)</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10 марта 2022 г.</w:t>
            </w:r>
          </w:p>
        </w:tc>
      </w:tr>
      <w:tr>
        <w:trPr>
          <w:trHeight w:val="702"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126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ФНС принято решение о приостановлении с 9 марта 2022 г. подачи налоговыми органами заявлений о банкротстве должников. (источник: </w:t>
            </w:r>
            <w:hyperlink r:id="rId10">
              <w:r>
                <w:rPr>
                  <w:rStyle w:val="Style14"/>
                  <w:rFonts w:cs="Times New Roman" w:ascii="Times New Roman" w:hAnsi="Times New Roman"/>
                  <w:color w:val="auto"/>
                  <w:sz w:val="24"/>
                  <w:szCs w:val="24"/>
                  <w:u w:val="none"/>
                </w:rPr>
                <w:t>https://www.nalog.gov.ru</w:t>
              </w:r>
            </w:hyperlink>
            <w:r>
              <w:rPr>
                <w:rFonts w:cs="Times New Roman" w:ascii="Times New Roman" w:hAnsi="Times New Roman"/>
                <w:sz w:val="24"/>
                <w:szCs w:val="24"/>
              </w:rPr>
              <w:t>)</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9 марта 2022 г.</w:t>
            </w:r>
          </w:p>
        </w:tc>
      </w:tr>
      <w:tr>
        <w:trPr>
          <w:trHeight w:val="71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 1 октября 2022 г. введен мораторий на возбуждение дел о банкротстве по заявлениям кредиторов в отношении юридических лиц. (постановление Правительства РФ от 28 марта 2022 г. № 497)</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31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 30 апреля 2022 г. приостановлено взимание платы за оформление торгово-промышленными палатами сертификатов о форс-мажоре. (приказы Торгово-промышленной палатой РФ от 9 марта 2022 г. № 24, 25)</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10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 11 апреля 2022 г. размер ключевой ставки составляет 17 процентов годовых. (пресс-релиз ЦБ РФ от 8 апреля 2022 г.)</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11 апреля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Заемщики, которые не относятся к малому или среднему бизнесу, могут обратиться в целях установления особого порядка начисления процентов по кредитам с плавающей ставкой в течение 3-х месяцев (не более 12,5 % процентов за первый месяц, 13,5 % – за второй, 16,5 % – за третий). Недоплату по процентам будет списана (для отдельных категорий заемщиков), либо ее можно будет погасить равными платежами начиная с 1 января 2023 г. или позднее. (Федеральный закон от 26 марта 2022 г. № 71-ФЗ)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26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Банк России рекомендовал кредитным организациям до конца 2022 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 ухудшать оценку финансового положения заемщика для резервов под потери, если само ухудшение произошло после 18 февраля 2022 г. по причине санкций;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не ухудшать оценку качества обслуживания долга независимо от финансового положения заемщика по реструктурированным ссудам. Также предложено реструктурировать задолженность, не назначать пени и штрафы по кредитам и займам, если финансовое положение заемщиков ухудшилось после 18 февраля 2022 г. в условиях санкционного давления;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при расчете резервов по ссудам и при оценке балансового имущества использовать стоимость по состоянию                           на 18 февраля 2022 г. (источник – https://cbr.ru/press/pr/?file=28022022_093323BANK_SECTOR28022022_073632.htm)</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28 февраля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Если валютный счет или вклад юридического лица открыт в банке, который находится под санкциями, до 1 сентября 2022 г. такой банк вправе исполнять свои обязательства в рублях. (Указ Президента Российской Федерации от 18 марта 2022 г. № 126)</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18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Центробанк ограничил эквайринговые комиссии в период с 18 апреля по 31 августа 2022 г. При приеме оплаты за социально значимые товары и услуги комиссия не может быть более 1 % (проживание в гостинице (мотеле, хостеле) (Коды типов деятельности торгово-сервисных предприятий в соответствии с классификацией платежных систем (код МСС) - 7011, 7032, 3501 - 3999, 4722; медицинские услуги (5122,4119, 8011, 8031, 8041, 8042, 8049, 8050, 8099, 8062, 8071, 8021) и прочее. (решение совета директоров Банка РФ от 18 марта 2022 г.)</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23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Допустимый размер авансирования по федеральным госконтрактам увеличен до 90%. Регионам рекомендовано принять аналогичные меры. (постановление Правительства РФ от 29 марта 2022 г. № 505)</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30 марта 2022 г.</w:t>
            </w:r>
          </w:p>
        </w:tc>
      </w:tr>
      <w:tr>
        <w:trPr>
          <w:trHeight w:val="416"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Предоставлена возможность изменять существенные условия контракта, который заключили до 1 января 2023 г., если по причине непредвиденных обстоятельств его нельзя исполнить (Федеральный закон от 8 марта 2022 г № 46-ФЗ).</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Если контракт невозможно исполнить в условиях санкционного давления: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исполнителя не включат в РНП (постановление Правительства РФ от 21 марта 2022 г. № 417);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заказчик обязан списывать неустойки (постановление Правительства РФ от 10 марта 2022 г № 340).</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26 марта 2022 г.</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 30 до 15 рабочих дней сократили срок оплаты поставленного товара, выполненной работы, оказанной услуги по контракту, извещения об осуществлении закупки по которому размещены (направлены) с 1 января по 31 декабря 2022 г. включительно, а с 1 января 2023 г. – не более десяти рабочих дней с даты подписания заказчиком документа о приемке. (Федеральный закон от 5 апреля 2013 г. № 44-ФЗ)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 января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Работодатель может получить господдержку в рамках программы субсидирования найма при трудоустройстве молодых людей, а именно: молодёжь до 30 лет без профессионального образования, соискатели в возрасте до 30 лет с несовершеннолетними детьми, граждане с инвалидностью до 30 лет, дети-сироты, и те, кто состоит или состоял на учёте в комиссии по делам несовершеннолетних.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Субсидия будет равна 3 МРОТ, увеличенным на районный коэффициент, сумму страховых взносов и количество трудоустроенных. Первый платёж работодатель получит через месяц после трудоустройства соискателя, второй – через три месяца, третий – через шесть месяцев. (постановление Правительства РФ от 18 марта 2022 г. № 398)</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21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Объявлен мораторий на проверки. Число проверок в 2022 году максимально сократили. Плановые проверки в отдельных случаях возможны, в том числе в отношении предприятий, осуществляющих деятельность по организации отдыха детей и их оздоровлению. </w:t>
            </w:r>
          </w:p>
          <w:p>
            <w:pPr>
              <w:pStyle w:val="Normal"/>
              <w:spacing w:lineRule="auto" w:line="240" w:before="0" w:after="0"/>
              <w:jc w:val="both"/>
              <w:rPr/>
            </w:pPr>
            <w:r>
              <w:rPr>
                <w:rFonts w:cs="Times New Roman" w:ascii="Times New Roman" w:hAnsi="Times New Roman"/>
                <w:sz w:val="24"/>
                <w:szCs w:val="24"/>
              </w:rPr>
              <w:t xml:space="preserve">Значительно сократился </w:t>
            </w:r>
            <w:hyperlink r:id="rId11">
              <w:r>
                <w:rPr>
                  <w:rStyle w:val="ListLabel6"/>
                  <w:rFonts w:cs="Times New Roman" w:ascii="Times New Roman" w:hAnsi="Times New Roman"/>
                  <w:sz w:val="24"/>
                  <w:szCs w:val="24"/>
                </w:rPr>
                <w:t>перечень</w:t>
              </w:r>
            </w:hyperlink>
            <w:r>
              <w:rPr>
                <w:rFonts w:cs="Times New Roman" w:ascii="Times New Roman" w:hAnsi="Times New Roman"/>
                <w:sz w:val="24"/>
                <w:szCs w:val="24"/>
              </w:rPr>
              <w:t xml:space="preserve"> оснований для внеплановых проверок. На 90 дней </w:t>
            </w:r>
            <w:hyperlink r:id="rId12">
              <w:r>
                <w:rPr>
                  <w:rStyle w:val="ListLabel6"/>
                  <w:rFonts w:cs="Times New Roman" w:ascii="Times New Roman" w:hAnsi="Times New Roman"/>
                  <w:sz w:val="24"/>
                  <w:szCs w:val="24"/>
                </w:rPr>
                <w:t>продлили</w:t>
              </w:r>
            </w:hyperlink>
            <w:r>
              <w:rPr>
                <w:rFonts w:cs="Times New Roman" w:ascii="Times New Roman" w:hAnsi="Times New Roman"/>
                <w:sz w:val="24"/>
                <w:szCs w:val="24"/>
              </w:rPr>
              <w:t xml:space="preserve"> срок исполнения предписаний, выданных до 10 марта 2022 г. и действующих на эту дату. Срок может быть еще увеличен если направить ходатайство не позднее предпоследнего дня срока. (постановление Правительства РФ от 10 марта 2022 г. № 336)</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25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Разрешено увеличивать срок договора аренды публичных земельных участков до 3 лет без проведения торгов. Арендаторам необходимо обратиться с таким требованием до 1 марта 2023 г. (Федеральный закон от 14 марта 2022 г. № 58-ФЗ)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14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c>
          <w:tcPr>
            <w:tcW w:w="126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Если по итогам 2022 года стоимость чистых активов предприятий упадет ниже размера уставного капитала, организация </w:t>
            </w:r>
            <w:hyperlink r:id="rId13">
              <w:r>
                <w:rPr>
                  <w:rStyle w:val="ListLabel6"/>
                  <w:rFonts w:cs="Times New Roman" w:ascii="Times New Roman" w:hAnsi="Times New Roman"/>
                  <w:sz w:val="24"/>
                  <w:szCs w:val="24"/>
                </w:rPr>
                <w:t>больше не обязана</w:t>
              </w:r>
            </w:hyperlink>
            <w:r>
              <w:rPr>
                <w:rFonts w:cs="Times New Roman" w:ascii="Times New Roman" w:hAnsi="Times New Roman"/>
                <w:sz w:val="24"/>
                <w:szCs w:val="24"/>
              </w:rPr>
              <w:t xml:space="preserve"> ликвидироваться или уменьшить капитал до уровня не больше стоимости активов. (Федеральный закон от 8 марта 2022 г № 46-ФЗ)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26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 31 декабря 2022 г. получать ряд сведений и документов об АО могут те, кто владеют в совокупности не менее 5 % голосующих акций организации, в частности: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об информации о сделке с заинтересованностью, если ее совершали без согласия;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протоколах заседаний совета директоров;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документах непубличного АО.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Такой же порог владения голосующими акциями установили для подачи иска. (Федеральный закон от 14 марта 2022 г.      № 55-ФЗ)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14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 31 августа 2022 г. ПАО могут приобретать свои акции при выполнении ряда условий. (Федеральный закон                          от 8 марта 2022 г. № 46-ФЗ)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26 марта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26.</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2022 г. Минфин будет выкупать акции российских эмитентов за счет средств Фонда национального благосостояния. (распоряжение Правительства РФ от 26 февраля 2022 г. № 335-р)</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26 февраля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Юридические лица не будут наказывать, если за это нарушение к административной ответственности уже привлекли ее должностное лицо, работника или управляющую компанию.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 несколько нарушений будут наказывать как за одно, если они выявлены в ходе одного контрольно-надзорного мероприятия и ответственность установлена в одной статье (ее части) КоАП РФ или регионального закона. (Федеральный закон от 26 марта 2022 г. № 70-ФЗ)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6 апреля 2022 г.</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28.</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Юридическим лицам и индивидуальным предпринимателям, осуществляющим отдельные виды экономической деятельности, в том числе санаторно-курортного, туристского и гостиничного комплекса (ОКВЭД 55, 79, 86), на 12 месяцев продлены, установленные НК РФ сроки уплаты страховых взносов, исчисленных с выплат и иных вознаграждений в пользу физических лиц за апрель - июнь 2022 г., а также исчисленных индивидуальными предпринимателями за 2021 год с суммы дохода, превышающей 300 000 рублей.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Для гостиниц на 12 месяцев продлены, установленные НК РФ сроки уплаты страховых взносов, исчисленных с выплат и иных вознаграждений в пользу физических лиц за июль - сентябрь 2022 г.</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30 апреля 2022 г.</w:t>
            </w:r>
          </w:p>
        </w:tc>
      </w:tr>
      <w:tr>
        <w:trPr>
          <w:trHeight w:val="416" w:hRule="atLeast"/>
        </w:trPr>
        <w:tc>
          <w:tcPr>
            <w:tcW w:w="15593" w:type="dxa"/>
            <w:gridSpan w:val="3"/>
            <w:tcBorders/>
            <w:shd w:fill="auto"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Поддержка субъектов МСП</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На 6 месяцев продлены сроки уплаты налога, уплачиваемого в связи с применением упрощенной системы налогообложения за 2021 год, и авансового платежа по налогу, уплачиваемому в связи с применением упрощенной системы налогообложения за </w:t>
            </w:r>
            <w:r>
              <w:rPr>
                <w:rFonts w:cs="Times New Roman" w:ascii="Times New Roman" w:hAnsi="Times New Roman"/>
                <w:sz w:val="24"/>
                <w:szCs w:val="24"/>
                <w:lang w:val="en-US"/>
              </w:rPr>
              <w:t>I</w:t>
            </w:r>
            <w:r>
              <w:rPr>
                <w:rFonts w:cs="Times New Roman" w:ascii="Times New Roman" w:hAnsi="Times New Roman"/>
                <w:sz w:val="24"/>
                <w:szCs w:val="24"/>
              </w:rPr>
              <w:t xml:space="preserve"> квартал 2022 г., в том числе для видов деятельности ОКВЭД 79, 86.</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новые сроки необходимо уплатить не всю сумму налога или авансового платежа, а одну шестую часть, начиная со следующего месяца после перенесенного срока уплаты соответствующих налогов (авансовых платежей). Далее налогоплательщики уплачивают ежемесячно по одной шестой части суммы до полной уплаты налога или авансового платежа. Также переносятся сроки уплаты налога по УСН за 2021 год: для организаций с 31 марта 2022 г. на 31 октября 2022 г.; для ИП с 30 апреля 2022 г. на 30 ноября 2022 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Срок уплаты авансового платежа по УСН за </w:t>
            </w:r>
            <w:r>
              <w:rPr>
                <w:rFonts w:cs="Times New Roman" w:ascii="Times New Roman" w:hAnsi="Times New Roman"/>
                <w:sz w:val="24"/>
                <w:szCs w:val="24"/>
                <w:lang w:val="en-US"/>
              </w:rPr>
              <w:t>I</w:t>
            </w:r>
            <w:r>
              <w:rPr>
                <w:rFonts w:cs="Times New Roman" w:ascii="Times New Roman" w:hAnsi="Times New Roman"/>
                <w:sz w:val="24"/>
                <w:szCs w:val="24"/>
              </w:rPr>
              <w:t xml:space="preserve"> квартал 2022 г. переносится для организаций и ИП с 25 апреля 2022 г. на 30 ноября 2022 г. (постановление Правительства РФ от 30 марта 2022 г. № 512)</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30 марта 2022 г.</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 сайте ФНС России запущен интерактивный помощник. Используя этот сервис, налогоплательщик может проверить, продлен ли для него срок уплаты налога при УСН.</w:t>
            </w:r>
          </w:p>
        </w:tc>
      </w:tr>
      <w:tr>
        <w:trPr>
          <w:trHeight w:val="480" w:hRule="atLeast"/>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Установлен максимальный лимит поручительств, действующих в отношении одного субъекта МСП, в размере 60 млн рублей. Гарантийный лимит на группу связанных компаний – субъектов МСП также составляет 60 млн рублей.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Поручительства по всем гарантийным продуктам сроком до 36 месяцев предоставляются по сниженной ставке вознаграждения – 0,5 % от суммы поручительства за весь срок действия договора. (источник – https://moibiz93.ru/fin-support/guarantees/)</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Заемщикам, относящимся к субъектам малого и среднего предпринимательства, осуществляющим виды деятельности: ОКВЭД 55, 79, 86, предоставлено право получить кредитные каникулы – отсрочку до 6 месяцев в отношении платежей по договорам, которые были заключены до 1 марта 2022 г., или уменьшить размер платежей в течение льготного периода. Обратиться за получением отсрочки или уменьшением размера платежей необходимо до 30 сентября 2022 г. (постановление Правительства РФ от 10 марта 2022 г. № 337)</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26 марта 2022 г.</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6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Предоставление льготного кредита на пополнение оборотных средств в рамках Программы стимулирования кредитования субъектов малого и среднего предпринимательства. Срок кредита – до 1 года. Ставки: не более 15 % годовых для малых предприятий, не более 13,5 % годовых – для средних. Сумма кредита: не менее 3 млн рублей и не более 2 млрд рублей. (источники – </w:t>
            </w:r>
            <w:hyperlink r:id="rId14">
              <w:r>
                <w:rPr>
                  <w:rStyle w:val="Style14"/>
                  <w:rFonts w:cs="Times New Roman" w:ascii="Times New Roman" w:hAnsi="Times New Roman"/>
                  <w:color w:val="auto"/>
                  <w:sz w:val="24"/>
                  <w:szCs w:val="24"/>
                  <w:u w:val="none"/>
                </w:rPr>
                <w:t>https://corpmsp.ru/bankam/programma_stimulir/</w:t>
              </w:r>
            </w:hyperlink>
            <w:r>
              <w:rPr>
                <w:rFonts w:cs="Times New Roman" w:ascii="Times New Roman" w:hAnsi="Times New Roman"/>
                <w:sz w:val="24"/>
                <w:szCs w:val="24"/>
              </w:rPr>
              <w:t>)</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15 марта 2022 г.</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Разработана программа оборотного кредитования, по которой микро- и малый бизнес может получить кредит на сумму до 300 млн рублей по ставке не выше 15 % годовых, средний бизнес – на сумму до 1 млрд рублей по ставке не выше 13,5 % годовых. По этой программе можно также рефинансировать уже имеющийся кредит, если он был выдан под плавающую ставку. Ограничений по цели кредитования нет. Срок кредитов – до 1 года. Срок действия программы –          до 30 декабря 2022 г. (источник – https://cbr.ru/develop/msp/#a_134593)</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льготного кредита на пополнение оборотных средств. Срок кредита – до 1 года. Ставки: не более 15 % годовых для малых предприятий, не более 13,5 % – для средних. Сумма кредита: для микропредприятий – от 500 тыс. рублей до 200 млн. рублей, для малых и средних предприятий – до 500 млн. рублей. (постановление Правительства РФ                      от 30 декабря 2018 г. № 1764)</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24 марта 2022 г.</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льготного кредита на рефинансирование кредита, ранее предоставленного заемщику в рублях, на срок, не превышающий срок действия такого кредита. Ставки: не более 15 % годовых для малых предприятий, не более 13,5 % – для средних. (постановление Правительства РФ от 30 декабря 2018 г. № 1764)</w:t>
            </w:r>
          </w:p>
        </w:tc>
        <w:tc>
          <w:tcPr>
            <w:tcW w:w="2411" w:type="dxa"/>
            <w:tcBorders/>
            <w:shd w:fill="auto" w:val="clear"/>
          </w:tcPr>
          <w:p>
            <w:pPr>
              <w:pStyle w:val="Normal"/>
              <w:spacing w:lineRule="auto" w:line="240" w:before="0" w:after="0"/>
              <w:jc w:val="center"/>
              <w:rPr>
                <w:rFonts w:ascii="Times New Roman" w:hAnsi="Times New Roman" w:cs="Times New Roman"/>
                <w:sz w:val="24"/>
                <w:szCs w:val="24"/>
                <w:highlight w:val="yellow"/>
              </w:rPr>
            </w:pPr>
            <w:r>
              <w:rPr>
                <w:rFonts w:cs="Times New Roman" w:ascii="Times New Roman" w:hAnsi="Times New Roman"/>
                <w:sz w:val="24"/>
                <w:szCs w:val="24"/>
              </w:rPr>
              <w:t>С 24 марта 2022 г.</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Микропредприятия могут получить кредит на развитие предпринимательской деятельности. Срок – до 3-х лет. Ставка составляет не более 16 % годовых. Сумма кредита – до 10 млн рублей. (постановление Правительства РФ от 30 декабря 2018 г. № 1764)</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24 марта 2022 г.</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Cs/>
                <w:sz w:val="24"/>
                <w:szCs w:val="24"/>
              </w:rPr>
              <w:t xml:space="preserve">Новые правила для льготных кредитов по программе «ФОТ 3.0» – </w:t>
            </w:r>
            <w:r>
              <w:rPr>
                <w:rFonts w:cs="Times New Roman" w:ascii="Times New Roman" w:hAnsi="Times New Roman"/>
                <w:sz w:val="24"/>
                <w:szCs w:val="24"/>
              </w:rPr>
              <w:t>кредит можно получить с 1 ноября по 30 декабря. Главное условие действия льготной ставки осталось прежним: сохранение 90 % штата. (п</w:t>
            </w:r>
            <w:r>
              <w:rPr>
                <w:rFonts w:cs="Times New Roman" w:ascii="Times New Roman" w:hAnsi="Times New Roman"/>
                <w:iCs/>
                <w:sz w:val="24"/>
                <w:szCs w:val="24"/>
              </w:rPr>
              <w:t>остановление Правительства РФ от 28.10.2021 № 1850).</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2615" w:type="dxa"/>
            <w:tcBorders/>
            <w:shd w:fill="auto" w:val="clear"/>
          </w:tcPr>
          <w:p>
            <w:pPr>
              <w:pStyle w:val="Normal"/>
              <w:spacing w:lineRule="auto" w:line="240" w:before="0" w:after="0"/>
              <w:jc w:val="both"/>
              <w:rPr/>
            </w:pPr>
            <w:r>
              <w:rPr>
                <w:rFonts w:cs="Times New Roman" w:ascii="Times New Roman" w:hAnsi="Times New Roman"/>
                <w:sz w:val="24"/>
                <w:szCs w:val="24"/>
              </w:rPr>
              <w:t xml:space="preserve">Можно получить отсрочку по льготному кредиту, выданному по программе «ФОТ 3.0» в 2021 году. На период отсрочки </w:t>
            </w:r>
            <w:hyperlink r:id="rId15">
              <w:r>
                <w:rPr>
                  <w:rStyle w:val="Style14"/>
                  <w:rFonts w:cs="Times New Roman" w:ascii="Times New Roman" w:hAnsi="Times New Roman"/>
                  <w:color w:val="auto"/>
                  <w:sz w:val="24"/>
                  <w:szCs w:val="24"/>
                  <w:u w:val="none"/>
                </w:rPr>
                <w:t>откладывается</w:t>
              </w:r>
            </w:hyperlink>
            <w:r>
              <w:rPr>
                <w:rFonts w:cs="Times New Roman" w:ascii="Times New Roman" w:hAnsi="Times New Roman"/>
                <w:sz w:val="24"/>
                <w:szCs w:val="24"/>
              </w:rPr>
              <w:t xml:space="preserve"> оплата процентов и основного долга по такому кредиту. (постановление Правительства РФ от 7 апреля 2022 г. № 611)</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8 апреля 2022 г.</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Продлено предоставление субсидий из федерального бюджета российским кредитным организациям на возмещение затрат на оплату банковских комиссий при осуществлении перевода денежных средств в СБП. В</w:t>
            </w:r>
            <w:r>
              <w:rPr>
                <w:rFonts w:cs="Times New Roman" w:ascii="Times New Roman" w:hAnsi="Times New Roman"/>
                <w:sz w:val="24"/>
                <w:szCs w:val="24"/>
                <w:shd w:fill="FFFFFF" w:val="clear"/>
              </w:rPr>
              <w:t xml:space="preserve">озмещение предприятиям банковской комиссии за пользование СБП будет осуществлять за период с 1 января по 1 июля 2022 г. Комиссия, уплачиваемая банку предприятием за начисление денежных средств по СБП не превышает 0,7 %. </w:t>
            </w:r>
            <w:r>
              <w:rPr>
                <w:rFonts w:cs="Times New Roman" w:ascii="Times New Roman" w:hAnsi="Times New Roman"/>
                <w:sz w:val="24"/>
                <w:szCs w:val="24"/>
              </w:rPr>
              <w:t>(распоряжение Правительства РФ от 4 марта 2022 года № 411-р)</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4 марта 2022 г.</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 15 до 7 рабочих дней сократили срок оплаты договоров по Федеральному закону от 18 июля 2011 г. № 223-ФЗ. Сокращённый срок оплаты распространяется на договоры, обязательства по которым подлежат оплате после официального опубликования постановления Правительства РФ от 21 марта 2022 г. № 417. Получить денежные средства за поставленный товар, выполненную работу или оказанную услугу можно при исполнении договоров начиная с 23 марта 2022 г. (постановление Правительства РФ от 21 марта 2022 г. № 417)</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23 марта 2022 г.</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Если в извещение об осуществлении закупки размещено в единой информационной системе с 1 января по 31 декабря 2022 г. включительно оплата поставленного товара, выполненной работы, оказанной услуги осуществляется в течение не более чем 10 рабочих дней, а если извещение размещено в единой информационной системе с 1 января 2023 г., не более чем 7 рабочих дней с даты подписания заказчиком документа о приемке. (Федеральный закон от 5 апреля 2013 № 44-ФЗ) </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 января 2022 г.</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Снижена ответственность для малых и микропредприятий: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их оштрафуют на суммы, которые предусмотрены для ИП, а не для организаций;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если штраф для ИП не предусмотрен, предприятие заплатит от половины минимального до половины максимального штрафа для организаций. Если размер санкции фиксированный, будет назначено 50 % от него. (Федеральный закон            от 26 марта 2022 г. № 70-ФЗ)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6 апреля 2022 г.</w:t>
            </w:r>
          </w:p>
        </w:tc>
      </w:tr>
      <w:tr>
        <w:trPr>
          <w:trHeight w:val="452" w:hRule="atLeast"/>
        </w:trPr>
        <w:tc>
          <w:tcPr>
            <w:tcW w:w="15593" w:type="dxa"/>
            <w:gridSpan w:val="3"/>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Стимулирование инвестиционной активности МСП</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Предоставление льготного кредита на инвестиционные цели в рамках Программы стимулирования кредитования субъектов малого и среднего предпринимательства. Срок кредита – до 3-х лет. Ставки: не более 15 % годовых для малых предприятий, не более 13,5 % годовых – для средних. Сумма кредита: не менее 3 млн рублей и не более 2 млрд рублей. </w:t>
            </w:r>
          </w:p>
          <w:p>
            <w:pPr>
              <w:pStyle w:val="Normal"/>
              <w:spacing w:lineRule="auto" w:line="240" w:before="0" w:after="0"/>
              <w:jc w:val="both"/>
              <w:rPr/>
            </w:pPr>
            <w:r>
              <w:rPr>
                <w:rFonts w:cs="Times New Roman" w:ascii="Times New Roman" w:hAnsi="Times New Roman"/>
                <w:sz w:val="24"/>
                <w:szCs w:val="24"/>
              </w:rPr>
              <w:t xml:space="preserve">(источники – </w:t>
            </w:r>
            <w:hyperlink r:id="rId16">
              <w:r>
                <w:rPr>
                  <w:rStyle w:val="Style14"/>
                  <w:rFonts w:cs="Times New Roman" w:ascii="Times New Roman" w:hAnsi="Times New Roman"/>
                  <w:color w:val="auto"/>
                  <w:sz w:val="24"/>
                  <w:szCs w:val="24"/>
                  <w:u w:val="none"/>
                </w:rPr>
                <w:t>https://corpmsp.ru/bankam/programma_stimulir/</w:t>
              </w:r>
            </w:hyperlink>
            <w:r>
              <w:rPr>
                <w:rFonts w:cs="Times New Roman" w:ascii="Times New Roman" w:hAnsi="Times New Roman"/>
                <w:sz w:val="24"/>
                <w:szCs w:val="24"/>
              </w:rPr>
              <w:t>)</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15 марта 2022 г.</w:t>
            </w:r>
          </w:p>
        </w:tc>
      </w:tr>
      <w:tr>
        <w:trPr/>
        <w:tc>
          <w:tcPr>
            <w:tcW w:w="5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615"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льготного кредита на инвестиционные цели для приобретения и (или) создания (сооружения, изготовления, достройки, дооборудования, реконструкции, модернизации и технического перевооружения) основных средств (включая строительство, реконструкцию, модернизацию объектов капитального строительства, в том числе выполнение инженерных изысканий, подготовку проектной документации для их строительства, реконструкции, модернизации). Срок кредита – до 10 лет. Ставки: не более 15 % годовых для малых предприятий, не более 13,5 % годовых – для средних. Сумма кредита: для микропредприятий – от 500 тыс. рублей до 200 млн. рублей, для малых предприятий – до 500 млн. рублей, для средних предприятий – до 2 млрд рублей. (постановление Правительства РФ          от 30 декабря 2018 г. № 1764)</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24 марта 2022 г.</w:t>
            </w:r>
          </w:p>
        </w:tc>
      </w:tr>
    </w:tbl>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Региональные меры поддержки организаций по состоянию на 5 мая 2022 г.</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(согласно Плану обеспечения устойчивого развития экономики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и социальной стабильности в Краснодарском крае)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Style w:val="a3"/>
        <w:tblW w:w="15735" w:type="dxa"/>
        <w:jc w:val="left"/>
        <w:tblInd w:w="-289" w:type="dxa"/>
        <w:tblCellMar>
          <w:top w:w="0" w:type="dxa"/>
          <w:left w:w="108" w:type="dxa"/>
          <w:bottom w:w="0" w:type="dxa"/>
          <w:right w:w="108" w:type="dxa"/>
        </w:tblCellMar>
        <w:tblLook w:val="04a0" w:noVBand="1" w:noHBand="0" w:lastColumn="0" w:firstColumn="1" w:lastRow="0" w:firstRow="1"/>
      </w:tblPr>
      <w:tblGrid>
        <w:gridCol w:w="568"/>
        <w:gridCol w:w="12756"/>
        <w:gridCol w:w="2411"/>
      </w:tblGrid>
      <w:tr>
        <w:trPr>
          <w:trHeight w:val="480" w:hRule="atLeast"/>
        </w:trPr>
        <w:tc>
          <w:tcPr>
            <w:tcW w:w="568" w:type="dxa"/>
            <w:tcBorders/>
            <w:shd w:fill="auto"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12756" w:type="dxa"/>
            <w:tcBorders/>
            <w:shd w:fill="auto"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Краткое описание меры</w:t>
            </w:r>
          </w:p>
        </w:tc>
        <w:tc>
          <w:tcPr>
            <w:tcW w:w="2411" w:type="dxa"/>
            <w:tcBorders/>
            <w:shd w:fill="auto"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Срок принятия</w:t>
            </w:r>
          </w:p>
        </w:tc>
      </w:tr>
      <w:tr>
        <w:trPr>
          <w:trHeight w:val="480" w:hRule="atLeast"/>
        </w:trPr>
        <w:tc>
          <w:tcPr>
            <w:tcW w:w="15735" w:type="dxa"/>
            <w:gridSpan w:val="3"/>
            <w:tcBorders/>
            <w:shd w:fill="auto"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 сфере туризма</w:t>
            </w:r>
          </w:p>
        </w:tc>
      </w:tr>
      <w:tr>
        <w:trPr>
          <w:trHeight w:val="480" w:hRule="atLeast"/>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 2022 год продлен срок действия льготы по налогу на имущество организаций в размере 0,01 % ставки для организаций и индивидуальных предпринимателей, включенных в реестр организаций отдыха детей и их оздоровления, расположенных на территории Краснодарского края, в отношении объектов недвижимого имущества, принадлежащих им на праве собственности и используемых для осуществления указанных услуг (Закон Краснодарского каря от 26 ноября 2003 г. № 620-КЗ).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Распространяет действие на правоотношения, возникшие с 1 января 2022 г.</w:t>
            </w:r>
          </w:p>
        </w:tc>
      </w:tr>
      <w:tr>
        <w:trPr>
          <w:trHeight w:val="480" w:hRule="atLeast"/>
        </w:trPr>
        <w:tc>
          <w:tcPr>
            <w:tcW w:w="15735" w:type="dxa"/>
            <w:gridSpan w:val="3"/>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Стимулирование инвестиционной активности</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Изменение порядка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 для реализации масштабных инвестиционных проектов</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 апреля 2022 г.</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Внесение изменений в условия реализации мероприятия «Предоставление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в части изменения стоимости инвестиционных проектов (от 30 до 1000 млн рублей)*, в рамках реализации которых возможно предоставление указанной субсидии, с выделением приоритетных отраслей экономики Краснодарского края, с условием предоставления субсидии в размере ключевой ставки Центрального банка Российской Федерации, но не более 15 %, и установления возможности субсидирования договоров в рамках льготного кредитования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0"/>
                <w:szCs w:val="20"/>
              </w:rPr>
              <w:t xml:space="preserve">* </w:t>
            </w:r>
            <w:r>
              <w:rPr>
                <w:rFonts w:cs="Times New Roman" w:ascii="Times New Roman" w:hAnsi="Times New Roman"/>
                <w:i/>
                <w:sz w:val="20"/>
                <w:szCs w:val="20"/>
              </w:rPr>
              <w:t>Внесение изменения в критерий отбора «юридическим лицом приняты кредитные обязательства в размере от 100 млн руб., но не выше 1 млрд руб., на реализацию инвестиционных проектов на территории Краснодарского края, а также заключен(ы) не ранее 1 января 2020 г. и суммой от 100 млн руб., но не выше 1 млрд руб., кредитный(ые) договор(ы) соглашение(ия)) и (или) договор(ы) (соглашение(ия)) кредитной(ых) линии(й) либо кредитный(е) договор(ы) (соглашение(ия)), по условиям которого(ых) предоставление кредита осуществляется траншами в рамках кредитной линии»: слова «100 млн рублей» заменить словами «30 млн рублей»</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 апреля 2022 г.</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финансирования мероприятия «Предоставление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на 2024 год (2022 г. – 360 000 тыс. рублей, 2023 г. – 360 000 тыс. рублей, 2024 г. – 360 000 тыс. рублей).</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 – 2024 годы</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Установление льготной арендной платы в размере 1 рубль по договорам аренды земельных участков для реализации инвестиционных проектов в рамках государственных контрактов, заключенных в соответствии со статьей 111.4 Федерального закона № 44-ФЗ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 течение 20 дней после принятия соответствующих изменений в Федеральный закон № 44-ФЗ</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возможности корректировки параметров, реализуемых масштабных инвестиционных проектов, в том числе наименования проекта, изменения технико-экономических показателей проекта, в соответствии с установленным назначением земельного участка, при наличии документального подтверждения фактически понесенных затрат в рамках реализуемого масштабного инвестиционного проекта</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 апреля 2022 г.</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Сокращение сроков (с 51 до 25 дней) и упрощение процедуры принятия решения о соответствии масштабного инвестиционного проекта условиям, установленным Законом Краснодарского края от 4 марта 2015 г. № 3123-КЗ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 апреля 2022 г.</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Рекомендация ресурсоснабжающим организациям, в том числе инфраструктурным монополиям, а также органам местного самоуправления муниципальных образований Краснодарского края, в части сокращения сроков административных процедур при согласовании проектно-сметной документации и выделения территорий (земельных участков) для прохождения (размещения) сетей ресурсоснабжающей организации в целях упрощения организации строительно-монтажных работ в рамках технологического присоединения объектов (инвестиционных проектов), реализуемых инвесторами не территории Краснодарского края (протокол координационного (совещательного) органа администрации Краснодарского края)</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 апреля 2022 г.</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отношении инвесторов в санаторно-курортной и гостиничной с 2022 года установлена налоговая льгота на срок 10 лет, при условии, что объем, осуществленных капитальных вложений инвестора в строительство объектов санаторно-курортного назначения, составит не менее 500 млн рублей (Закон КК от 26.11.2003 № 620-КЗ).</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Распространяется на отношения, возникшие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1 января 2022 г.</w:t>
            </w:r>
          </w:p>
        </w:tc>
      </w:tr>
      <w:tr>
        <w:trPr>
          <w:trHeight w:val="455" w:hRule="atLeast"/>
        </w:trPr>
        <w:tc>
          <w:tcPr>
            <w:tcW w:w="15735" w:type="dxa"/>
            <w:gridSpan w:val="3"/>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Поддержка системообразующих организаций регионального значения</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субсидий в размере 50 % ключевой ставки ЦБ РФ системообразующим организациям регионального значения, оказавшимся в сложной ситуации, в целях возмещения части затрат, понесенных на уплату процентов за период, не превышающий 3 месяцев, по кредитам, полученным в российских кредитных организациях на пополнение оборотных средств</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 мая 2022 г.</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Предоставления субсидий на выплату заработной платы сотрудникам предприятий сообщаем, что в настоящее время разрабатывается мера поддержки, предусматривающая предоставление за счет средств краевого бюджета субсидий системообразующим организациям регионального значения, оказавшимся в сложной ситуации, в целях возмещения части затрат на оплату труда в объеме не более 1 МРОТ на каждого работника, осуществляющего трудовую деятельность на полную ставку рабочего времени, при условии сохранения 90 % сотрудников</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 мая 2022 г.</w:t>
            </w:r>
          </w:p>
        </w:tc>
      </w:tr>
      <w:tr>
        <w:trPr>
          <w:trHeight w:val="422" w:hRule="atLeast"/>
        </w:trPr>
        <w:tc>
          <w:tcPr>
            <w:tcW w:w="15735" w:type="dxa"/>
            <w:gridSpan w:val="3"/>
            <w:tcBorders/>
            <w:shd w:fill="auto"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Поддержка юридических лиц</w:t>
            </w:r>
          </w:p>
        </w:tc>
      </w:tr>
      <w:tr>
        <w:trPr>
          <w:trHeight w:val="987" w:hRule="atLeast"/>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Снятие ограничения «Общий (предельный) объем субсидий не может быть установлен выше 90 %» при принятии решения о предоставлении субсидии юридическим лицам, сто процентов акций (долей) которых принадлежит Краснодарскому краю</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 апреля 2022 г.</w:t>
            </w:r>
          </w:p>
        </w:tc>
      </w:tr>
      <w:tr>
        <w:trPr>
          <w:trHeight w:val="1399" w:hRule="atLeast"/>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Снятие ограничения по финансированию за счет средств субсидии, предоставленной юридическим лицам, сто процентов акций (долей) которых принадлежит Краснодарскому краю, затрат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и проведение проверки достоверности определения сметной стоимости объектов капитального строительства</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 апреля 2022 г.</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по заявлениям хозяйствующих субъектов отсрочки и не начисление пени и штрафов по уплате хозяйствующими субъектами (юридическими лицами и индивидуальными предпринимателями) неналоговых платежей (в виде арендной платы по договорам аренды государственного или муниципального имущества) в консолидированный бюджет Краснодарского края до 1 июля 2022 г.</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 апреля 2022 г.</w:t>
            </w:r>
          </w:p>
        </w:tc>
      </w:tr>
      <w:tr>
        <w:trPr>
          <w:trHeight w:val="1191" w:hRule="atLeast"/>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Мораторий на обращение до 1 июля 2022 г. с требованиями о взыскании с юридических лиц и индивидуальных предпринимателей задолженности по неналоговым платежам (в виде арендной платы по договорам аренды государственного или муниципального имущества), а также штрафов (пеней) по оплате неналоговых платежей в консолидированный бюджет Краснодарского края, сложившихся до 1 марта 2022 г.  </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 апреля 2022 г.</w:t>
            </w:r>
          </w:p>
        </w:tc>
      </w:tr>
      <w:tr>
        <w:trPr>
          <w:trHeight w:val="654" w:hRule="atLeast"/>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Продление сроков уплаты налога (авансового платежа по налогу) на имущество организаций за I квартал 2022 года               до 1 июля 2022 г. (включительно). (постановление главы администрации (губернатора) Краснодарского края от 7 апреля 2022 г. № 159)</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7 апреля 2022 г.</w:t>
            </w:r>
          </w:p>
        </w:tc>
      </w:tr>
      <w:tr>
        <w:trPr>
          <w:trHeight w:val="866" w:hRule="atLeast"/>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инвестиционного налогового вычета по налогу на прибыль организаций для предприятий – участников национального проекта «Производительность труда» в 2022 – 2024 годах - не более 90 % суммы расходов, указанных в подпунктах 1 и 2 пункта 2 статьи 286.1 части 2 НК РФ</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 апреля 2022 г.</w:t>
            </w:r>
          </w:p>
        </w:tc>
      </w:tr>
      <w:tr>
        <w:trPr>
          <w:trHeight w:val="958" w:hRule="atLeast"/>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Увеличение размера инвестиционного налогового вычета по налогу на прибыль организаций, установленного законом Краснодарского края от 28 ноября 2019 г. № 4170-КЗ, с 50 % до 70 % для налогоплательщиков, которые не являются участниками национального проекта «Производительность труда»</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 апреля 2022 г.</w:t>
            </w:r>
          </w:p>
        </w:tc>
      </w:tr>
      <w:tr>
        <w:trPr>
          <w:trHeight w:val="414" w:hRule="atLeast"/>
        </w:trPr>
        <w:tc>
          <w:tcPr>
            <w:tcW w:w="15735" w:type="dxa"/>
            <w:gridSpan w:val="3"/>
            <w:tcBorders/>
            <w:shd w:fill="auto"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Поддержка субъектов МСП</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Инвентаризация государственного и муниципального имущества на предмет определения объектов недвижимости государственной и муниципальной собственности, находящихся в удовлетворительном состоянии, площадью не менее 20 - 30 кв. м, в целях их включения в перечни государственного и муниципального имущества, утвержденные на территории Краснодарского края в соответствии с частью 4 статьи 18 Федерального закона от 24 июля 2007 г. № 209-ФЗ, в целях предоставления в аренду, в том числе на льготных условиях, субъектам малого и среднего предпринимательства (реестр объектов недвижимого имущества)</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 15 апреля 2022 г.</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Предоставление реструктуризации задолженности по договорам займа, выданным унитарной некоммерческой организацией - микрокредитной компанией «Фонд микрофинансирования субъектов малого и среднего предпринимательства Краснодарского края» предпринимателям по их заявлению в виде отсрочки платежа по погашению основного долга и процентов на срок до 6 месяцев (решение комиссии по предоставлению микрозаймов)</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марта 2022 г.</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Снижение ставки вознаграждения унитарной некоммерческой организацией «Фонд развития бизнеса Краснодарского края» за предоставление поручительства для субъектов малого и среднего предпринимательства в рамках общего порядка деятельности до 0,5 % годовых от суммы поручительства в целях снижения дополнительных финансовых издержек субъектов малого и среднего предпринимательства при получении кредитов, займов и банковских гарантий (протокол заседания Наблюдательного совета унитарной некоммерческой организации «Фонд развития бизнеса Краснодарского края»)</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Март 2022 г.</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Фонд микрофинансирования Краснодарского края предлагает следующие условия микрозаймов: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Для действующих субъектов малого и среднего предпринимательства, осуществляющих предпринимательскую (хозяйственную) деятельность в сфере туристской индустрии (от 100 до 5000 тыс. рублей, ставка – 4,25 % годовых, срок: 3 – 36 мес.).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Для действующих субъектов малого и среднего предпринимательства, организаций инфраструктуры поддержки малого и среднего предпринимательства «Рефинанс», осуществляющих предпринимательскую (хозяйственную) деятельность в сфере туристской индустрии согласно Федеральному закону от 24 ноября 1996 г. № 132-ФЗ «Об основах туристской деятельности в Российской Федерации» (от 100 до 5000 тыс. рублей, ставка – 4,25 % годовых, срок: 3 – 36 мес.).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Для действующих субъектов малого и среднего предпринимательства, организаций инфраструктуры поддержки малого и среднего предпринимательства для восстановления экономики «Восстановление МСП» (от 100 до 5000 тыс. рублей, ставка – 3,5 % годовых, срок: 3 – 24 мес.).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Для действующих субъектов малого и среднего предпринимательства, организаций инфраструктуры поддержки малого и среднего предпринимательства на пополнение оборотных средств (от 100 до 5000 тыс. рублей, ставка – 6,5 % годовых, срок: 3 – 24 мес.).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Для начинающих субъектов МСП, срок регистрации которых от 1 мес. (от 100 до 3000 тыс. рублей, ставка – 2-4 % годовых, срок: 7 – 36 мес.). (источник – https://fmkk.ru/).</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Бесплатные экономические, маркетинговые и юридические консультации от специалистов Центра поддержки предпринимательства. Служба экономической безопасности помогает получить определённые данные по проекту, проверить надёжность контрагентов и т.д. (источник – https://mbkuban.ru/cpp/consultations/).</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Организация муниципальных коворкинг-центров с рабочими местами, предназначенными для предоставления в безвозмездное пользование субъектам малого и среднего предпринимательства</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 г.</w:t>
            </w:r>
          </w:p>
        </w:tc>
      </w:tr>
      <w:tr>
        <w:trPr/>
        <w:tc>
          <w:tcPr>
            <w:tcW w:w="568"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1275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Продление сроков уплаты налогов (авансовых платежей по налогам):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для индивидуальных предпринимателей: налог, уплачиваемый в связи с применением упрощенной системы налогообложения, за налоговый период 2021 года – до 1 июля 2022 г. (включительно);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для организаций и индивидуальных предпринимателей: налог, уплачиваемый в связи с применением упрощенной системы налогообложения, за I квартал 2022 года – до 1 июля 2022 г. (включительно).</w:t>
            </w:r>
          </w:p>
        </w:tc>
        <w:tc>
          <w:tcPr>
            <w:tcW w:w="2411"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 7 апреля 2022 г.</w:t>
            </w:r>
          </w:p>
        </w:tc>
      </w:tr>
    </w:tbl>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 xml:space="preserve">Ссылки на источники информации: </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http://government.ru/sanctions_measures/</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https://fmkk.ru/</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https://mbkuban.ru/cpp/consultations/</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https://moibiz93.ru/fin-support/guarantees/</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https://cbr.ru/develop/msp/#a_134593</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https://fincult.info/articles/</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https://corpmsp.ru/pres_slujba/news/v_2022_godu_korporatsiya_msp_perekhodit_k_masshtabirovaniyu_zontichnogo_mekhanizma_podderzhki_malogo/</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https://corpmsp.ru/bankam/programma_stimulir/</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https://мойбизнес.рф/</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https://cbr.ru/press/pr/?file=28022022_093323BANK_SECTOR28022022_073632.htm</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https://cbr.ru/Queries/XsltBlock/File/131643/-1/2351</w:t>
      </w:r>
    </w:p>
    <w:p>
      <w:pPr>
        <w:pStyle w:val="Normal"/>
        <w:spacing w:lineRule="auto" w:line="240" w:before="0" w:after="0"/>
        <w:rPr/>
      </w:pPr>
      <w:hyperlink r:id="rId17">
        <w:r>
          <w:rPr>
            <w:rStyle w:val="Style14"/>
            <w:rFonts w:cs="Times New Roman" w:ascii="Times New Roman" w:hAnsi="Times New Roman"/>
            <w:color w:val="auto"/>
            <w:sz w:val="21"/>
            <w:szCs w:val="21"/>
            <w:u w:val="none"/>
          </w:rPr>
          <w:t>https://neweconomy.krasnodar.ru/activity/mery-podderzhki-v-usloviyakh-sanktsionnogo-davleniya</w:t>
        </w:r>
      </w:hyperlink>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https://neweconomy.krasnodar.ru/upload/iblock/499/Plan-ot-25.03.2022.pdf</w:t>
      </w:r>
    </w:p>
    <w:p>
      <w:pPr>
        <w:pStyle w:val="Normal"/>
        <w:spacing w:lineRule="auto" w:line="240" w:before="0" w:after="0"/>
        <w:rPr/>
      </w:pPr>
      <w:hyperlink r:id="rId18">
        <w:r>
          <w:rPr>
            <w:rStyle w:val="Style14"/>
            <w:rFonts w:cs="Times New Roman" w:ascii="Times New Roman" w:hAnsi="Times New Roman"/>
            <w:color w:val="auto"/>
            <w:sz w:val="21"/>
            <w:szCs w:val="21"/>
            <w:u w:val="none"/>
          </w:rPr>
          <w:t>https://investkuban.ru/</w:t>
        </w:r>
      </w:hyperlink>
    </w:p>
    <w:p>
      <w:pPr>
        <w:pStyle w:val="Normal"/>
        <w:spacing w:lineRule="auto" w:line="240" w:before="0" w:after="0"/>
        <w:rPr/>
      </w:pPr>
      <w:hyperlink r:id="rId19">
        <w:r>
          <w:rPr>
            <w:rStyle w:val="Style14"/>
            <w:rFonts w:cs="Times New Roman" w:ascii="Times New Roman" w:hAnsi="Times New Roman"/>
            <w:color w:val="auto"/>
            <w:sz w:val="21"/>
            <w:szCs w:val="21"/>
            <w:u w:val="none"/>
          </w:rPr>
          <w:t>https://drcs.krasnodar.ru/index.php?option=com_content&amp;view=section&amp;id=25&amp;Itemid=69</w:t>
        </w:r>
      </w:hyperlink>
    </w:p>
    <w:p>
      <w:pPr>
        <w:pStyle w:val="Normal"/>
        <w:spacing w:lineRule="auto" w:line="240" w:before="0" w:after="0"/>
        <w:rPr/>
      </w:pPr>
      <w:hyperlink r:id="rId20">
        <w:r>
          <w:rPr>
            <w:rStyle w:val="Style14"/>
            <w:rFonts w:cs="Times New Roman" w:ascii="Times New Roman" w:hAnsi="Times New Roman"/>
            <w:color w:val="auto"/>
            <w:sz w:val="21"/>
            <w:szCs w:val="21"/>
            <w:u w:val="none"/>
          </w:rPr>
          <w:t>https://smbn.ru/</w:t>
        </w:r>
      </w:hyperlink>
      <w:r>
        <w:rPr>
          <w:rFonts w:cs="Times New Roman" w:ascii="Times New Roman" w:hAnsi="Times New Roman"/>
          <w:sz w:val="21"/>
          <w:szCs w:val="21"/>
        </w:rPr>
        <w:t xml:space="preserve"> </w:t>
      </w:r>
    </w:p>
    <w:sectPr>
      <w:type w:val="nextPage"/>
      <w:pgSz w:orient="landscape" w:w="16838" w:h="11906"/>
      <w:pgMar w:left="1134" w:right="1134" w:header="0" w:top="284"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9939be"/>
    <w:rPr>
      <w:color w:val="0563C1" w:themeColor="hyperlink"/>
      <w:u w:val="single"/>
    </w:rPr>
  </w:style>
  <w:style w:type="character" w:styleId="Style15" w:customStyle="1">
    <w:name w:val="Текст выноски Знак"/>
    <w:basedOn w:val="DefaultParagraphFont"/>
    <w:link w:val="a6"/>
    <w:uiPriority w:val="99"/>
    <w:semiHidden/>
    <w:qFormat/>
    <w:rsid w:val="009f2889"/>
    <w:rPr>
      <w:rFonts w:ascii="Segoe UI" w:hAnsi="Segoe UI" w:cs="Segoe UI"/>
      <w:sz w:val="18"/>
      <w:szCs w:val="18"/>
    </w:rPr>
  </w:style>
  <w:style w:type="paragraph" w:styleId="Style16">
    <w:name w:val="Заголовок"/>
    <w:basedOn w:val="Normal"/>
    <w:next w:val="Style17"/>
    <w:qFormat/>
    <w:pPr>
      <w:keepNext w:val="true"/>
      <w:spacing w:before="240" w:after="120"/>
    </w:pPr>
    <w:rPr>
      <w:rFonts w:ascii="Liberation Sans" w:hAnsi="Liberation Sans" w:eastAsia="Droid Sans Fallback" w:cs="Droid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Droid Sans Devanagari"/>
    </w:rPr>
  </w:style>
  <w:style w:type="paragraph" w:styleId="Style19">
    <w:name w:val="Caption"/>
    <w:basedOn w:val="Normal"/>
    <w:qFormat/>
    <w:pPr>
      <w:suppressLineNumbers/>
      <w:spacing w:before="120" w:after="120"/>
    </w:pPr>
    <w:rPr>
      <w:rFonts w:cs="Droid Sans Devanagari"/>
      <w:i/>
      <w:iCs/>
      <w:sz w:val="24"/>
      <w:szCs w:val="24"/>
    </w:rPr>
  </w:style>
  <w:style w:type="paragraph" w:styleId="Style20">
    <w:name w:val="Указатель"/>
    <w:basedOn w:val="Normal"/>
    <w:qFormat/>
    <w:pPr>
      <w:suppressLineNumbers/>
    </w:pPr>
    <w:rPr>
      <w:rFonts w:cs="Droid Sans Devanagari"/>
    </w:rPr>
  </w:style>
  <w:style w:type="paragraph" w:styleId="ListParagraph">
    <w:name w:val="List Paragraph"/>
    <w:basedOn w:val="Normal"/>
    <w:uiPriority w:val="34"/>
    <w:qFormat/>
    <w:rsid w:val="00445a4f"/>
    <w:pPr>
      <w:spacing w:before="0" w:after="160"/>
      <w:ind w:left="720" w:hanging="0"/>
      <w:contextualSpacing/>
    </w:pPr>
    <w:rPr/>
  </w:style>
  <w:style w:type="paragraph" w:styleId="BalloonText">
    <w:name w:val="Balloon Text"/>
    <w:basedOn w:val="Normal"/>
    <w:link w:val="a7"/>
    <w:uiPriority w:val="99"/>
    <w:semiHidden/>
    <w:unhideWhenUsed/>
    <w:qFormat/>
    <w:rsid w:val="009f288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0243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E5511495395370EB7635E3095AB7212002963F368401637D68ACFFDB8B96C998059B2B91E72DCF7FA36B847A89E8C938D387B39590ED421x7U6O" TargetMode="External"/><Relationship Id="rId3" Type="http://schemas.openxmlformats.org/officeDocument/2006/relationships/hyperlink" Target="consultantplus://offline/ref=2E5511495395370EB7635E3095AB7212002963F368401637D68ACFFDB8B96C998059B2B91E72DCF7F436B847A89E8C938D387B39590ED421x7U6O" TargetMode="External"/><Relationship Id="rId4" Type="http://schemas.openxmlformats.org/officeDocument/2006/relationships/hyperlink" Target="consultantplus://offline/ref=384C4908DAEEF94E130037E8E960E9929FA816D188B07B2BE716A17294DFCCD6069E476B9164D3CC9C9F34D738EBD3618AFA6A970152BAF07Fm1L" TargetMode="External"/><Relationship Id="rId5" Type="http://schemas.openxmlformats.org/officeDocument/2006/relationships/hyperlink" Target="consultantplus://offline/ref=384C4908DAEEF94E130037E8E960E9929FA816D188B07B2BE716A17294DFCCD6069E476B9164D3C79B9F34D738EBD3618AFA6A970152BAF07Fm1L" TargetMode="External"/><Relationship Id="rId6" Type="http://schemas.openxmlformats.org/officeDocument/2006/relationships/hyperlink" Target="consultantplus://offline/ref=2C744D63B6A0A3AA38458D662FA719A16E5D23E4E55EDCCA9B2B81A3131E1E28A4504AD2E1332547E36799901BCBA14C29EE86AF7AEFR1K4M" TargetMode="External"/><Relationship Id="rId7" Type="http://schemas.openxmlformats.org/officeDocument/2006/relationships/hyperlink" Target="consultantplus://offline/ref=772314848B897F85C4CC5AD409AF676673B1F47CC223166E03DF8D67F2A74C66E94FBD9C72EBED182FF1BE0915EF5CC254EEB02A1E1DCBMCJDM" TargetMode="External"/><Relationship Id="rId8" Type="http://schemas.openxmlformats.org/officeDocument/2006/relationships/hyperlink" Target="https://www.nalog.gov.ru/" TargetMode="External"/><Relationship Id="rId9" Type="http://schemas.openxmlformats.org/officeDocument/2006/relationships/hyperlink" Target="https://www.nalog.gov.ru/" TargetMode="External"/><Relationship Id="rId10" Type="http://schemas.openxmlformats.org/officeDocument/2006/relationships/hyperlink" Target="https://www.nalog.gov.ru/" TargetMode="External"/><Relationship Id="rId11" Type="http://schemas.openxmlformats.org/officeDocument/2006/relationships/hyperlink" Target="consultantplus://offline/ref=263AB374FA15D704E7C317F927F480ABFB5A999D2ABF0B650F76E6247D52A262CD88A521CDF9F826067AC13861D6338DE083EF4920051CB5I034L" TargetMode="External"/><Relationship Id="rId12" Type="http://schemas.openxmlformats.org/officeDocument/2006/relationships/hyperlink" Target="consultantplus://offline/ref=263AB374FA15D704E7C317F927F480ABFB5A999D2ABF0B650F76E6247D52A262CD88A521CDF9F821017AC13861D6338DE083EF4920051CB5I034L" TargetMode="External"/><Relationship Id="rId13" Type="http://schemas.openxmlformats.org/officeDocument/2006/relationships/hyperlink" Target="consultantplus://offline/ref=BE4F6470047051E0B32ED94DF575A5A85BD9996B18B98D5A6BCAF9408266E4BC572F57C71918C4EFE200AC9F092E512A2DA428969A26A44CpDkAO" TargetMode="External"/><Relationship Id="rId14" Type="http://schemas.openxmlformats.org/officeDocument/2006/relationships/hyperlink" Target="https://corpmsp.ru/bankam/programma_stimulir/" TargetMode="External"/><Relationship Id="rId15" Type="http://schemas.openxmlformats.org/officeDocument/2006/relationships/hyperlink" Target="consultantplus://offline/ref=039B73A26E420FF318719E51CA3C59476D0D34B58937625C4032C24B752E8DE9C14DD49748C27BDDBCA08F751E7821B7B51D3FDDBF16E388YFt4I" TargetMode="External"/><Relationship Id="rId16" Type="http://schemas.openxmlformats.org/officeDocument/2006/relationships/hyperlink" Target="https://corpmsp.ru/bankam/programma_stimulir/" TargetMode="External"/><Relationship Id="rId17" Type="http://schemas.openxmlformats.org/officeDocument/2006/relationships/hyperlink" Target="https://neweconomy.krasnodar.ru/activity/mery-podderzhki-v-usloviyakh-sanktsionnogo-davleniya" TargetMode="External"/><Relationship Id="rId18" Type="http://schemas.openxmlformats.org/officeDocument/2006/relationships/hyperlink" Target="https://investkuban.ru/" TargetMode="External"/><Relationship Id="rId19" Type="http://schemas.openxmlformats.org/officeDocument/2006/relationships/hyperlink" Target="https://drcs.krasnodar.ru/index.php?option=com_content&amp;view=section&amp;id=25&amp;Itemid=69" TargetMode="External"/><Relationship Id="rId20" Type="http://schemas.openxmlformats.org/officeDocument/2006/relationships/hyperlink" Target="https://smbn.ru/" TargetMode="Externa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FBFD3-BA4E-4185-9F86-98E64FAD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LibreOffice/6.3.0.4$Linux_X86_64 LibreOffice_project/057fc023c990d676a43019934386b85b21a9ee99</Application>
  <Pages>6</Pages>
  <Words>4953</Words>
  <Characters>30782</Characters>
  <CharactersWithSpaces>35636</CharactersWithSpaces>
  <Paragraphs>303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2022-05-11T14:04:00Z</dcterms:created>
  <dc:creator>МКТКК</dc:creator>
  <dc:description/>
  <dc:language>ru-RU</dc:language>
  <cp:lastModifiedBy>Лысенко Екатерина Рафаэльевна</cp:lastModifiedBy>
  <cp:lastPrinted>2022-04-07T12:49:00Z</cp:lastPrinted>
  <dcterms:modified xsi:type="dcterms:W3CDTF">2022-05-11T14:04:00Z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